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2inf5</w:t>
            </w:r>
          </w:p>
        </w:tc>
      </w:tr>
      <w:tr>
        <w:trPr>
          <w:cantSplit w:val="0"/>
          <w:trHeight w:val="494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la geometria delle molecole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Classificazione e nomenclatura dei composti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nomi delle sostanze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Scrittura formule semplici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Classificazione dei composti inorganici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 dei composti binari e ternari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IUPAC dei composti binari e ternari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dei composti binari dell’ossigeno e dell’idrogeno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degli idrossidi, degli ossiacidi e dei sali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proprietà delle soluzioni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Solubilità, temperatura e pressione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fisiche: %m/m; %m/V; %V/V,m/V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chimiche: molarità, molalità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soluzioni elettrolitiche e il pH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colligative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reazioni chimiche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vari tipi di reazione chimica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ioniche nette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calcoli stechiometrici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Reagente limitante e reagente in eccesso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resa di reazione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Cenni di termodinamica, cinetica chimica ed equilibrio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Sistema ed ambiente, sistema chiuso aperto isolato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dinamico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costante di equilibrio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Le Châtelier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 solubilità,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catalizzatori e i fattori che influenzano la velocità di reazione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Gli acidi e le basi, reazioni ioniche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teorie sugli acidi e sulle basi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Arrhenius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Bronsted e Lowry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Lewis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ionizzazione dell’acqua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pH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forza degli acidi e delle basi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neutralizzazione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L’idrolisi salina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ossidoriduzioni e l’elettricità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Ossidazione e riduzione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Come si bilanciano le reazioni di ossido-riduzione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Reazioni redox spontanee e non spontanee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pile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scala dei potenziali standard di riduzione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corrosione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L’elettrolisi e la cella elettrolitica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di Faraday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 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tavola periodica: proprietà fisiche e chimiche dei metalli e dei non metalli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Comportamento sostanze in presenza di forze elettriche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Polarità e miscibilità delle sostanze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Conducibilità elettrica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Test di riconoscimento di alcuni anioni e cationi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Studio stechiometrico della reazione di preparazione dell’idrossido ferrico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soluzioni a titolo noto: g/L, % m/m, % m/V, % V/V, Molarità, Molalità.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una soluzione per diluizione da una soluzione a titolo noto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Indicatori acido-base e scala di pH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Misurazione pH prodotti commerciali 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Titolazione acido forte con base forte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 contenuto di acido acetico nell'aceto commerciale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della durezza delle acque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Scala relativa dei potenziali di ossido-riduzione: redox in becher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pila Daniell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Costruzione di alcune pile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Voltametro di Hofmann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Elettrolisi di alcuni sali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176.0" w:type="dxa"/>
        <w:tblLayout w:type="fixed"/>
        <w:tblLook w:val="0400"/>
      </w:tblPr>
      <w:tblGrid>
        <w:gridCol w:w="154"/>
        <w:gridCol w:w="693"/>
        <w:gridCol w:w="1967"/>
        <w:gridCol w:w="1558"/>
        <w:gridCol w:w="1560"/>
        <w:gridCol w:w="3353"/>
        <w:gridCol w:w="356"/>
        <w:tblGridChange w:id="0">
          <w:tblGrid>
            <w:gridCol w:w="154"/>
            <w:gridCol w:w="693"/>
            <w:gridCol w:w="1967"/>
            <w:gridCol w:w="1558"/>
            <w:gridCol w:w="1560"/>
            <w:gridCol w:w="3353"/>
            <w:gridCol w:w="356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Autori: Giuseppe Valitutti, Marco Falasca, Patrizia Amadio          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+TmaEMClwLi5G1QIaU8zwEJXCw==">CgMxLjA4AHIhMXE1M0Z2bGZ2WktTZUw0U2k0Znd6X2xwczhwMW5LQ1Yz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2024-05-21T19:23:00Z</dcterms:created>
  <dc:creator>@</dc:creator>
</cp:coreProperties>
</file>