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7695DE1A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8872166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PROGRAMMA SVOLTO</w:t>
            </w:r>
          </w:p>
          <w:p w14:paraId="03192465" w14:textId="77777777" w:rsidR="00146C3E" w:rsidRPr="00551726" w:rsidRDefault="00146C3E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sz w:val="20"/>
                <w:szCs w:val="20"/>
              </w:rPr>
              <w:t>ANNO SCOLASTICO 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3</w:t>
            </w:r>
            <w:r w:rsidRPr="00551726">
              <w:rPr>
                <w:rFonts w:ascii="Arial" w:eastAsia="Verdana" w:hAnsi="Arial" w:cs="Arial"/>
                <w:sz w:val="20"/>
                <w:szCs w:val="20"/>
              </w:rPr>
              <w:t>/202</w:t>
            </w:r>
            <w:r w:rsidR="004662A7" w:rsidRPr="0055172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</w:tr>
      <w:tr w:rsidR="00B75612" w:rsidRPr="00367CDA" w14:paraId="4D19BAD4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E767A1D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5237A63E" w14:textId="77777777" w:rsidR="000A0B7B" w:rsidRDefault="000A0B7B" w:rsidP="000A0B7B">
            <w:pPr>
              <w:pStyle w:val="NormaleWeb"/>
              <w:spacing w:before="0" w:beforeAutospacing="0" w:after="0" w:afterAutospacing="0"/>
              <w:ind w:left="-2" w:hanging="2"/>
              <w:jc w:val="center"/>
              <w:rPr>
                <w:lang w:eastAsia="it-IT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Isabella Andriola</w:t>
            </w:r>
          </w:p>
          <w:p w14:paraId="3BF16E2B" w14:textId="77777777" w:rsidR="000A0B7B" w:rsidRDefault="000A0B7B" w:rsidP="000A0B7B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Filippo Neri (laboratorio)</w:t>
            </w:r>
          </w:p>
          <w:p w14:paraId="381C32B3" w14:textId="77777777" w:rsidR="000174B2" w:rsidRPr="002A7545" w:rsidRDefault="000174B2" w:rsidP="000A0B7B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14:paraId="2CD1D70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MATERIA</w:t>
            </w:r>
          </w:p>
          <w:p w14:paraId="09329411" w14:textId="77777777" w:rsidR="000174B2" w:rsidRPr="00551726" w:rsidRDefault="000A0B7B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Chimica e laboratorio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466FAF5" w14:textId="77777777" w:rsidR="00B75612" w:rsidRPr="00551726" w:rsidRDefault="00B75612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51726">
              <w:rPr>
                <w:rFonts w:ascii="Arial" w:eastAsia="Verdana" w:hAnsi="Arial" w:cs="Arial"/>
                <w:b/>
                <w:sz w:val="20"/>
                <w:szCs w:val="20"/>
              </w:rPr>
              <w:t>CLASSE</w:t>
            </w:r>
          </w:p>
          <w:p w14:paraId="2DB67E58" w14:textId="602E2A76" w:rsidR="000174B2" w:rsidRPr="00551726" w:rsidRDefault="000A0B7B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1</w:t>
            </w:r>
            <w:r w:rsidR="00475596">
              <w:rPr>
                <w:rFonts w:ascii="Arial" w:eastAsia="Verdana" w:hAnsi="Arial" w:cs="Arial"/>
                <w:b/>
                <w:sz w:val="20"/>
                <w:szCs w:val="20"/>
              </w:rPr>
              <w:t>nf1</w:t>
            </w:r>
          </w:p>
        </w:tc>
      </w:tr>
      <w:tr w:rsidR="00B75612" w:rsidRPr="00367CDA" w14:paraId="3CCA4109" w14:textId="77777777" w:rsidTr="00551726">
        <w:trPr>
          <w:trHeight w:val="9204"/>
        </w:trPr>
        <w:tc>
          <w:tcPr>
            <w:tcW w:w="5000" w:type="pct"/>
            <w:gridSpan w:val="3"/>
            <w:shd w:val="clear" w:color="auto" w:fill="auto"/>
          </w:tcPr>
          <w:p w14:paraId="6F212E14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it-IT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misure e le grandezze</w:t>
            </w:r>
          </w:p>
          <w:p w14:paraId="66F1B80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grandezze fondamentali del S.I.</w:t>
            </w:r>
          </w:p>
          <w:p w14:paraId="622D49F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misure di massa e volume</w:t>
            </w:r>
          </w:p>
          <w:p w14:paraId="7E7A903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densità come grandezza derivata</w:t>
            </w:r>
          </w:p>
          <w:p w14:paraId="3EFC97B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temperatura e la sua misura</w:t>
            </w:r>
          </w:p>
          <w:p w14:paraId="7B55A87D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notazione scientifica</w:t>
            </w:r>
          </w:p>
          <w:p w14:paraId="202DAF2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cifre significative</w:t>
            </w:r>
          </w:p>
          <w:p w14:paraId="13A5732A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trasformazioni fisiche della materia</w:t>
            </w:r>
          </w:p>
          <w:p w14:paraId="4D3FDFB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stati fisici e le loro proprietà</w:t>
            </w:r>
          </w:p>
          <w:p w14:paraId="2677021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passaggi di stato</w:t>
            </w:r>
          </w:p>
          <w:p w14:paraId="3E98218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modello particellare della materia </w:t>
            </w:r>
          </w:p>
          <w:p w14:paraId="6D4BAEA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sistemi omogenei ed eterogenei</w:t>
            </w:r>
          </w:p>
          <w:p w14:paraId="0B774E3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sostanze e i miscugli</w:t>
            </w:r>
          </w:p>
          <w:p w14:paraId="7B00C4B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solubilità e la concentrazione delle soluzioni</w:t>
            </w:r>
          </w:p>
          <w:p w14:paraId="67884CF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principali metodi di separazione dei miscugli</w:t>
            </w:r>
          </w:p>
          <w:p w14:paraId="72FCA213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sostanze e le loro trasformazioni</w:t>
            </w:r>
          </w:p>
          <w:p w14:paraId="60E29BA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trasformazioni fisiche e le reazioni chimiche</w:t>
            </w:r>
          </w:p>
          <w:p w14:paraId="707A2D1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elementi e i composti</w:t>
            </w:r>
          </w:p>
          <w:p w14:paraId="1A21640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elementi nella tavola periodica</w:t>
            </w:r>
          </w:p>
          <w:p w14:paraId="0E07979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modello atomico di Dalton</w:t>
            </w:r>
          </w:p>
          <w:p w14:paraId="544F726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leggi ponderali: leggi delle proporzioni definite, legge di conservazione della massa</w:t>
            </w:r>
          </w:p>
          <w:p w14:paraId="06E44DCF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Leggi ponderali e calcoli matematici</w:t>
            </w:r>
          </w:p>
          <w:p w14:paraId="7F89ABC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significato della formula chimica</w:t>
            </w:r>
          </w:p>
          <w:p w14:paraId="5F8EF5B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equazioni di reazione e il bilanciamento semplice</w:t>
            </w:r>
          </w:p>
          <w:p w14:paraId="0A76196C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teoria cinetico-molecolare e le leggi dei gas</w:t>
            </w:r>
          </w:p>
          <w:p w14:paraId="6FB9FBD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cinetico-molecolare della materia</w:t>
            </w:r>
          </w:p>
          <w:p w14:paraId="4CFEEBAD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gas perfetto e la teoria cinetico-molecolare</w:t>
            </w:r>
          </w:p>
          <w:p w14:paraId="6AA428D5" w14:textId="2CC59074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La legge di </w:t>
            </w:r>
            <w:r w:rsidR="002A7545"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Boyle,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la legge di Charles, </w:t>
            </w:r>
            <w:r w:rsidR="002A7545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a legge di Gay-</w:t>
            </w:r>
            <w:proofErr w:type="spellStart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Lussac</w:t>
            </w:r>
            <w:proofErr w:type="spellEnd"/>
          </w:p>
          <w:p w14:paraId="36BF5D2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legge generale dei gas</w:t>
            </w:r>
          </w:p>
          <w:p w14:paraId="6666737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principio di Avogadro</w:t>
            </w:r>
          </w:p>
          <w:p w14:paraId="0368A08F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particelle elementari</w:t>
            </w:r>
          </w:p>
          <w:p w14:paraId="5FE438E2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quantità di sostanza in moli</w:t>
            </w:r>
          </w:p>
          <w:p w14:paraId="5167130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massa atomica, la massa molecolare, il peso formula</w:t>
            </w:r>
          </w:p>
          <w:p w14:paraId="7A513CEB" w14:textId="77777777" w:rsidR="004662A7" w:rsidRPr="00551726" w:rsidRDefault="004662A7" w:rsidP="00551726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definizione di mole </w:t>
            </w:r>
            <w:r w:rsidR="00551726" w:rsidRPr="00551726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 i</w:t>
            </w:r>
            <w:r w:rsidRPr="00551726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calcoli con le moli</w:t>
            </w:r>
          </w:p>
          <w:p w14:paraId="199AF39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gas e il volume molare</w:t>
            </w:r>
          </w:p>
          <w:p w14:paraId="6880ABC5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formule chimiche e la composizione percentuale</w:t>
            </w:r>
          </w:p>
          <w:p w14:paraId="2B4A8753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 particelle dell’atomo</w:t>
            </w:r>
          </w:p>
          <w:p w14:paraId="65363E1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particelle subatomiche</w:t>
            </w:r>
          </w:p>
          <w:p w14:paraId="6CF7CD8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Gli isotopi</w:t>
            </w:r>
          </w:p>
          <w:p w14:paraId="79943BC2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 modelli atomici di Thomson e Rutherford </w:t>
            </w:r>
          </w:p>
          <w:p w14:paraId="46C5769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numero atomico</w:t>
            </w:r>
          </w:p>
          <w:p w14:paraId="2063551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 trasformazioni del nucleo</w:t>
            </w:r>
          </w:p>
          <w:p w14:paraId="1DC47C8C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struttura dell’atomo</w:t>
            </w:r>
          </w:p>
          <w:p w14:paraId="15EABFE2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doppia natura della luce</w:t>
            </w:r>
          </w:p>
          <w:p w14:paraId="69CFFD5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L’atomo di Bohr</w:t>
            </w:r>
          </w:p>
          <w:p w14:paraId="6B36F44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L’energia di ionizzazione</w:t>
            </w:r>
          </w:p>
          <w:p w14:paraId="36473E4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Livelli e sottolivelli di energia</w:t>
            </w:r>
          </w:p>
          <w:p w14:paraId="662D4A5D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configurazione elettronica degli elementi</w:t>
            </w:r>
          </w:p>
          <w:p w14:paraId="728AB570" w14:textId="77777777" w:rsidR="004662A7" w:rsidRPr="004662A7" w:rsidRDefault="00551726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  <w:lang w:val="en-US"/>
              </w:rPr>
              <w:lastRenderedPageBreak/>
              <w:t>L</w:t>
            </w:r>
            <w:r w:rsidR="004662A7"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’orbitale</w:t>
            </w:r>
          </w:p>
          <w:p w14:paraId="4E5F79DB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Il sistema periodico</w:t>
            </w:r>
          </w:p>
          <w:p w14:paraId="3FD29D4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moderna tavola periodica</w:t>
            </w:r>
          </w:p>
          <w:p w14:paraId="0DE7802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Proprietà atomiche e andamenti periodici:</w:t>
            </w:r>
            <w:r w:rsidR="000A0B7B" w:rsidRPr="00147029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energia di ionizzazione, affinità elettronica, elettronegatività</w:t>
            </w:r>
          </w:p>
          <w:p w14:paraId="052C6B8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Proprietà chimiche e andamenti periodici</w:t>
            </w:r>
          </w:p>
          <w:p w14:paraId="1426E514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 legami chimici</w:t>
            </w:r>
          </w:p>
          <w:p w14:paraId="332EF679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proofErr w:type="spellStart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Perchè</w:t>
            </w:r>
            <w:proofErr w:type="spellEnd"/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gli atomo si legano</w:t>
            </w:r>
          </w:p>
          <w:p w14:paraId="2BB2615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legame ionico</w:t>
            </w:r>
          </w:p>
          <w:p w14:paraId="754E0BB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legame metallico</w:t>
            </w:r>
          </w:p>
          <w:p w14:paraId="4E24710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Il legame covalente</w:t>
            </w:r>
          </w:p>
          <w:p w14:paraId="67100136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polarità dei legami</w:t>
            </w:r>
          </w:p>
          <w:p w14:paraId="6C0B6A41" w14:textId="77777777" w:rsidR="004662A7" w:rsidRPr="004662A7" w:rsidRDefault="004662A7" w:rsidP="004662A7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 forma delle molecole e le forze intermolecolari</w:t>
            </w:r>
          </w:p>
          <w:p w14:paraId="0CF8203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teoria VSEPR e geometria delle molecole</w:t>
            </w:r>
          </w:p>
          <w:p w14:paraId="25F7FD4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Molecole polari e non polari</w:t>
            </w:r>
          </w:p>
          <w:p w14:paraId="35BB46F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Forze intermolecolari</w:t>
            </w:r>
          </w:p>
          <w:p w14:paraId="6C9EF701" w14:textId="77777777" w:rsidR="004662A7" w:rsidRPr="004662A7" w:rsidRDefault="00551726" w:rsidP="004662A7">
            <w:pPr>
              <w:pStyle w:val="NormaleWeb"/>
              <w:spacing w:before="0" w:beforeAutospacing="0" w:after="0" w:afterAutospacing="0"/>
              <w:ind w:left="-2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</w:t>
            </w:r>
            <w:r w:rsidR="004662A7" w:rsidRPr="004662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LABORATORIO </w:t>
            </w:r>
          </w:p>
          <w:p w14:paraId="2976C9D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Norme di sicurezza e norme di comportamento</w:t>
            </w:r>
          </w:p>
          <w:p w14:paraId="4D29127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Etichettatura e classificazione dei prodotti chimici</w:t>
            </w:r>
          </w:p>
          <w:p w14:paraId="3BB7552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Uso della bilancia tecnica e uso della buretta.</w:t>
            </w:r>
          </w:p>
          <w:p w14:paraId="03496EF1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vetreria di laboratorio: caratteristiche tecniche e loro corretto utilizzo</w:t>
            </w:r>
          </w:p>
          <w:p w14:paraId="3331BD83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La relazione di laboratorio</w:t>
            </w:r>
          </w:p>
          <w:p w14:paraId="164019A5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Densità dei solidi e densità dei liquidi</w:t>
            </w:r>
          </w:p>
          <w:p w14:paraId="34248B42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Decantazione</w:t>
            </w:r>
          </w:p>
          <w:p w14:paraId="78FF454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Filtrazione</w:t>
            </w:r>
          </w:p>
          <w:p w14:paraId="7411C0F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Separazione componenti miscuglio eterogeneo e determinazione delle quantità </w:t>
            </w:r>
          </w:p>
          <w:p w14:paraId="682557B0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Distillazione semplice</w:t>
            </w:r>
          </w:p>
          <w:p w14:paraId="7BA1FA89" w14:textId="6B87990C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Estrazione pigmenti fotosintetici e separazione </w:t>
            </w:r>
            <w:r w:rsidR="00071234"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tramite cromatografia</w:t>
            </w: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 xml:space="preserve"> su carta</w:t>
            </w:r>
          </w:p>
          <w:p w14:paraId="101566C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Cristallizzazione</w:t>
            </w:r>
          </w:p>
          <w:p w14:paraId="2015012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Legge di Lavoisier</w:t>
            </w:r>
          </w:p>
          <w:p w14:paraId="60DA816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Preparazione idrossido di zinco</w:t>
            </w:r>
          </w:p>
          <w:p w14:paraId="39A3EBEB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Legge di Proust</w:t>
            </w:r>
          </w:p>
          <w:p w14:paraId="609E6E7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Calcoli sulla mole</w:t>
            </w:r>
          </w:p>
          <w:p w14:paraId="39017C44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Manifestazioni osservabili nelle reazioni chimiche</w:t>
            </w:r>
          </w:p>
          <w:p w14:paraId="090901CA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Saggi alla fiamma</w:t>
            </w:r>
          </w:p>
          <w:p w14:paraId="399667FE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superficie di contatto</w:t>
            </w:r>
          </w:p>
          <w:p w14:paraId="5A204B4C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temperatura</w:t>
            </w:r>
          </w:p>
          <w:p w14:paraId="23F57C27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concentrazione</w:t>
            </w:r>
          </w:p>
          <w:p w14:paraId="1BA899F8" w14:textId="77777777" w:rsidR="004662A7" w:rsidRPr="004662A7" w:rsidRDefault="004662A7" w:rsidP="004662A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ind w:left="1083"/>
              <w:jc w:val="both"/>
              <w:textAlignment w:val="baseline"/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</w:pPr>
            <w:r w:rsidRPr="004662A7">
              <w:rPr>
                <w:rFonts w:ascii="Arial" w:hAnsi="Arial" w:cs="Arial"/>
                <w:b/>
                <w:bCs/>
                <w:color w:val="424548"/>
                <w:sz w:val="20"/>
                <w:szCs w:val="20"/>
                <w:shd w:val="clear" w:color="auto" w:fill="FFFFFF"/>
              </w:rPr>
              <w:t>Velocità di reazione e catalizzatore</w:t>
            </w:r>
          </w:p>
          <w:p w14:paraId="2E27829B" w14:textId="77777777"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362DD01C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69"/>
        <w:gridCol w:w="693"/>
        <w:gridCol w:w="2068"/>
        <w:gridCol w:w="1639"/>
        <w:gridCol w:w="1643"/>
        <w:gridCol w:w="3523"/>
        <w:gridCol w:w="376"/>
      </w:tblGrid>
      <w:tr w:rsidR="003F39A1" w:rsidRPr="00367CDA" w14:paraId="03559EDD" w14:textId="77777777" w:rsidTr="00551726"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9593D9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1DEF1B22" w14:textId="77777777" w:rsidTr="00551726">
        <w:trPr>
          <w:trHeight w:val="6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2C27" w14:textId="77777777" w:rsidR="00551726" w:rsidRDefault="00551726" w:rsidP="00551726">
            <w:pPr>
              <w:pStyle w:val="NormaleWeb"/>
              <w:shd w:val="clear" w:color="auto" w:fill="FFFFFF"/>
              <w:spacing w:before="0" w:beforeAutospacing="0" w:after="0" w:afterAutospacing="0"/>
              <w:rPr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Autori: Giuseppe Valitutti, Marco Falasca, Patrizia Amadio           Titolo: Chimica Molecole in movimento, seconda edizione</w:t>
            </w:r>
          </w:p>
          <w:p w14:paraId="7BF6798E" w14:textId="77777777" w:rsidR="00551726" w:rsidRDefault="00551726" w:rsidP="00551726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Casa Editrice: Zanichelli</w:t>
            </w:r>
          </w:p>
          <w:p w14:paraId="39A22EED" w14:textId="77777777"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1726" w:rsidRPr="001F633D" w14:paraId="2A359015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44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78F0A371" w14:textId="77777777" w:rsidR="00551726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42BB19D1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A32D5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3DCC8EE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38152B1A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                   </w:t>
            </w: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359B7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2142EFBD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25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63E53DDC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FEA8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87055C9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0897E973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383C5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BA9348B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58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1FF3F0F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6C6FFC42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F2D6996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2C3871D7" w14:textId="77777777" w:rsidR="00551726" w:rsidRPr="001F633D" w:rsidRDefault="0055172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107D" w14:textId="77777777" w:rsidR="00551726" w:rsidRPr="001F633D" w:rsidRDefault="00551726" w:rsidP="00551726">
            <w:pPr>
              <w:spacing w:after="3" w:line="240" w:lineRule="atLeast"/>
              <w:ind w:right="11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59320719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267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0551AD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298C6F32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B92920E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10F9E21B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17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3D011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551726" w:rsidRPr="001F633D" w14:paraId="1B72CD8F" w14:textId="77777777" w:rsidTr="00551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" w:type="pct"/>
          <w:wAfter w:w="187" w:type="pct"/>
          <w:trHeight w:val="253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6F472BA3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</w:tcPr>
          <w:p w14:paraId="1861F917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19D97FD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14:paraId="15DC73F8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9A745" w14:textId="77777777" w:rsidR="00551726" w:rsidRPr="001F633D" w:rsidRDefault="00551726" w:rsidP="00551726">
            <w:pPr>
              <w:spacing w:after="3" w:line="240" w:lineRule="atLeast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1E44ADAF" w14:textId="77777777" w:rsidR="003F39A1" w:rsidRPr="00862641" w:rsidRDefault="003F39A1" w:rsidP="00551726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4560A" w14:textId="77777777" w:rsidR="00AD2133" w:rsidRDefault="00AD2133" w:rsidP="00D20F06">
      <w:pPr>
        <w:spacing w:after="0" w:line="240" w:lineRule="auto"/>
      </w:pPr>
      <w:r>
        <w:separator/>
      </w:r>
    </w:p>
  </w:endnote>
  <w:endnote w:type="continuationSeparator" w:id="0">
    <w:p w14:paraId="5EAC2EE7" w14:textId="77777777" w:rsidR="00AD2133" w:rsidRDefault="00AD2133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D660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022F0D2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E7FD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036BE6A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AE92D" w14:textId="77777777" w:rsidR="00AD2133" w:rsidRDefault="00AD2133" w:rsidP="00D20F06">
      <w:pPr>
        <w:spacing w:after="0" w:line="240" w:lineRule="auto"/>
      </w:pPr>
      <w:r>
        <w:separator/>
      </w:r>
    </w:p>
  </w:footnote>
  <w:footnote w:type="continuationSeparator" w:id="0">
    <w:p w14:paraId="471DD0E5" w14:textId="77777777" w:rsidR="00AD2133" w:rsidRDefault="00AD2133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0731F" w14:textId="4FD83DC8" w:rsidR="00491750" w:rsidRDefault="0014702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9521FBB" wp14:editId="1AFBFAFB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806BF"/>
    <w:multiLevelType w:val="multilevel"/>
    <w:tmpl w:val="AF32B7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5199D"/>
    <w:multiLevelType w:val="multilevel"/>
    <w:tmpl w:val="A7B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42594"/>
    <w:multiLevelType w:val="multilevel"/>
    <w:tmpl w:val="A63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5410F"/>
    <w:multiLevelType w:val="multilevel"/>
    <w:tmpl w:val="19D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9724785">
    <w:abstractNumId w:val="3"/>
  </w:num>
  <w:num w:numId="2" w16cid:durableId="1359551713">
    <w:abstractNumId w:val="8"/>
  </w:num>
  <w:num w:numId="3" w16cid:durableId="523523379">
    <w:abstractNumId w:val="12"/>
  </w:num>
  <w:num w:numId="4" w16cid:durableId="1310745712">
    <w:abstractNumId w:val="4"/>
  </w:num>
  <w:num w:numId="5" w16cid:durableId="1799716036">
    <w:abstractNumId w:val="2"/>
  </w:num>
  <w:num w:numId="6" w16cid:durableId="1194923005">
    <w:abstractNumId w:val="1"/>
  </w:num>
  <w:num w:numId="7" w16cid:durableId="1987516088">
    <w:abstractNumId w:val="11"/>
  </w:num>
  <w:num w:numId="8" w16cid:durableId="914969867">
    <w:abstractNumId w:val="10"/>
  </w:num>
  <w:num w:numId="9" w16cid:durableId="1112898173">
    <w:abstractNumId w:val="6"/>
  </w:num>
  <w:num w:numId="10" w16cid:durableId="1925142940">
    <w:abstractNumId w:val="9"/>
  </w:num>
  <w:num w:numId="11" w16cid:durableId="2138058137">
    <w:abstractNumId w:val="0"/>
  </w:num>
  <w:num w:numId="12" w16cid:durableId="93211992">
    <w:abstractNumId w:val="5"/>
  </w:num>
  <w:num w:numId="13" w16cid:durableId="191550725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166411877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6894579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13696009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3936989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6667881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 w16cid:durableId="96377274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204886672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37338618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10638967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129428567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 w16cid:durableId="127490300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 w16cid:durableId="5098726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113568224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250885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71071817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 w16cid:durableId="17053469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 w16cid:durableId="16738006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 w16cid:durableId="116951616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186451637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 w16cid:durableId="806129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 w16cid:durableId="7947571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 w16cid:durableId="16744540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 w16cid:durableId="546991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 w16cid:durableId="14586456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4819672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9" w16cid:durableId="205889168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 w16cid:durableId="117653101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 w16cid:durableId="1894646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 w16cid:durableId="592536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 w16cid:durableId="163560334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4" w16cid:durableId="91574662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 w16cid:durableId="51165150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 w16cid:durableId="39597794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 w16cid:durableId="72456825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8" w16cid:durableId="180769706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9" w16cid:durableId="188489888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0" w16cid:durableId="13559622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1" w16cid:durableId="125567165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25902230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162820282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83449263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57366572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 w16cid:durableId="37732143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 w16cid:durableId="133726534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8" w16cid:durableId="129474834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9" w16cid:durableId="13048783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0" w16cid:durableId="148878362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 w16cid:durableId="34513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71234"/>
    <w:rsid w:val="00082E6C"/>
    <w:rsid w:val="000A0B7B"/>
    <w:rsid w:val="000A7226"/>
    <w:rsid w:val="000D6C3F"/>
    <w:rsid w:val="0011694F"/>
    <w:rsid w:val="00122CE5"/>
    <w:rsid w:val="001300D6"/>
    <w:rsid w:val="001415CE"/>
    <w:rsid w:val="00146C3E"/>
    <w:rsid w:val="00147029"/>
    <w:rsid w:val="001737A6"/>
    <w:rsid w:val="00187CA9"/>
    <w:rsid w:val="001D2CB2"/>
    <w:rsid w:val="001E27DD"/>
    <w:rsid w:val="001F633D"/>
    <w:rsid w:val="00223292"/>
    <w:rsid w:val="002858FA"/>
    <w:rsid w:val="002945B4"/>
    <w:rsid w:val="002A7545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662A7"/>
    <w:rsid w:val="00475224"/>
    <w:rsid w:val="00475596"/>
    <w:rsid w:val="00475AC8"/>
    <w:rsid w:val="004760F0"/>
    <w:rsid w:val="00477B37"/>
    <w:rsid w:val="00491750"/>
    <w:rsid w:val="004B18B6"/>
    <w:rsid w:val="004B670D"/>
    <w:rsid w:val="004E543E"/>
    <w:rsid w:val="005067E6"/>
    <w:rsid w:val="00512F76"/>
    <w:rsid w:val="005460FD"/>
    <w:rsid w:val="00551726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2133"/>
    <w:rsid w:val="00AD3D25"/>
    <w:rsid w:val="00AD4C4C"/>
    <w:rsid w:val="00AD51BB"/>
    <w:rsid w:val="00B11183"/>
    <w:rsid w:val="00B144A9"/>
    <w:rsid w:val="00B176B7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04CB9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A0414"/>
    <w:rsid w:val="00EB3C06"/>
    <w:rsid w:val="00ED502F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A4D5C34"/>
  <w15:chartTrackingRefBased/>
  <w15:docId w15:val="{57678565-1D6C-48F8-8BC8-94739E5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Isabella Andriola</cp:lastModifiedBy>
  <cp:revision>3</cp:revision>
  <cp:lastPrinted>2019-05-06T08:43:00Z</cp:lastPrinted>
  <dcterms:created xsi:type="dcterms:W3CDTF">2024-05-21T16:13:00Z</dcterms:created>
  <dcterms:modified xsi:type="dcterms:W3CDTF">2024-05-21T16:13:00Z</dcterms:modified>
</cp:coreProperties>
</file>